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E" w:rsidRDefault="00B911EB" w:rsidP="00174C21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Отчет об итогах голосования на</w:t>
      </w:r>
      <w:r w:rsidR="0072241E" w:rsidRPr="00E15C2B">
        <w:rPr>
          <w:b/>
          <w:bCs/>
          <w:iCs/>
        </w:rPr>
        <w:t xml:space="preserve"> </w:t>
      </w:r>
      <w:r>
        <w:rPr>
          <w:b/>
          <w:bCs/>
          <w:iCs/>
        </w:rPr>
        <w:t>общем собрании</w:t>
      </w:r>
      <w:r w:rsidR="0072241E" w:rsidRPr="00E15C2B">
        <w:rPr>
          <w:b/>
          <w:bCs/>
          <w:iCs/>
        </w:rPr>
        <w:t xml:space="preserve"> акционеров</w:t>
      </w:r>
    </w:p>
    <w:p w:rsidR="00174C21" w:rsidRPr="00E15C2B" w:rsidRDefault="00174C21" w:rsidP="00174C21">
      <w:pPr>
        <w:jc w:val="center"/>
        <w:rPr>
          <w:b/>
          <w:bCs/>
          <w:iCs/>
        </w:rPr>
      </w:pP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ПУБЛИЧНОЕ АКЦИОНЕРНОЕ ОБЩЕСТВО "МУРМАНСКИЙ ТРАЛОВЫЙ ФЛОТ"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183038, г. Мурманск, ул. Шмидта, д. 43</w:t>
      </w:r>
      <w:r w:rsidR="00860DE5" w:rsidRPr="00567765">
        <w:rPr>
          <w:sz w:val="20"/>
          <w:szCs w:val="20"/>
        </w:rPr>
        <w:t>.</w:t>
      </w:r>
    </w:p>
    <w:p w:rsidR="00D266DD" w:rsidRPr="009C3397" w:rsidRDefault="00AF242D" w:rsidP="00241A6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Почтовый адрес, по которому </w:t>
      </w:r>
      <w:r>
        <w:rPr>
          <w:b/>
          <w:sz w:val="20"/>
          <w:szCs w:val="20"/>
        </w:rPr>
        <w:t>должны</w:t>
      </w:r>
    </w:p>
    <w:p w:rsidR="00AF242D" w:rsidRPr="004E103A" w:rsidRDefault="00AF242D" w:rsidP="00241A6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направляться заполненные бюллетени: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183038, г. Мурманск, ул. Шмидта, д. 43, ПАО «МТФ» или 107996, г. Москва, ул. Буженинова, д. 3</w:t>
      </w:r>
      <w:r w:rsidR="005C1DBF">
        <w:rPr>
          <w:sz w:val="20"/>
          <w:szCs w:val="20"/>
        </w:rPr>
        <w:t>0, стр.1 АО «Новый регистратор»</w:t>
      </w:r>
      <w:r w:rsidR="00860DE5" w:rsidRPr="004E103A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Внеочередное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Заочное голосование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15 августа 2016 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21 июля 2016 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«Новый регистратор»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Российская Федерация, г. Москва</w:t>
      </w:r>
      <w:r w:rsidR="00860DE5" w:rsidRPr="00860DE5">
        <w:rPr>
          <w:sz w:val="20"/>
          <w:szCs w:val="20"/>
        </w:rPr>
        <w:t>.</w:t>
      </w:r>
    </w:p>
    <w:p w:rsidR="0072241E" w:rsidRDefault="0072241E" w:rsidP="00D266D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Логинов Александр Владимирович</w:t>
      </w:r>
      <w:r w:rsidR="00860DE5" w:rsidRPr="004E103A">
        <w:rPr>
          <w:sz w:val="20"/>
          <w:szCs w:val="20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982"/>
        <w:gridCol w:w="237"/>
        <w:gridCol w:w="5789"/>
      </w:tblGrid>
      <w:tr w:rsidR="00174C21" w:rsidTr="00A70493">
        <w:trPr>
          <w:cantSplit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911EB" w:rsidRDefault="00B911EB" w:rsidP="00591016">
            <w:pPr>
              <w:rPr>
                <w:b/>
                <w:sz w:val="20"/>
                <w:szCs w:val="20"/>
              </w:rPr>
            </w:pPr>
          </w:p>
          <w:p w:rsidR="00174C21" w:rsidRPr="0055397E" w:rsidRDefault="00174C21" w:rsidP="00591016">
            <w:pPr>
              <w:rPr>
                <w:b/>
                <w:sz w:val="20"/>
                <w:szCs w:val="20"/>
              </w:rPr>
            </w:pPr>
            <w:r w:rsidRPr="0055397E">
              <w:rPr>
                <w:b/>
                <w:sz w:val="20"/>
                <w:szCs w:val="20"/>
              </w:rPr>
              <w:t>Председатель общего собрания: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74C21" w:rsidRPr="00820C53" w:rsidRDefault="00174C21" w:rsidP="00174C21">
            <w:p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B911EB" w:rsidRPr="00A70493" w:rsidRDefault="00B911EB" w:rsidP="00174C21">
            <w:pPr>
              <w:rPr>
                <w:sz w:val="20"/>
                <w:szCs w:val="20"/>
              </w:rPr>
            </w:pPr>
          </w:p>
          <w:p w:rsidR="00174C21" w:rsidRPr="00A70493" w:rsidRDefault="00A70493" w:rsidP="00174C21">
            <w:pPr>
              <w:rPr>
                <w:sz w:val="20"/>
                <w:szCs w:val="20"/>
              </w:rPr>
            </w:pPr>
            <w:r w:rsidRPr="00A70493">
              <w:rPr>
                <w:sz w:val="20"/>
                <w:szCs w:val="20"/>
              </w:rPr>
              <w:t>Старков Денис Алексеевич</w:t>
            </w:r>
            <w:r w:rsidR="00174C21" w:rsidRPr="00A70493">
              <w:rPr>
                <w:sz w:val="20"/>
                <w:szCs w:val="20"/>
              </w:rPr>
              <w:t>.</w:t>
            </w:r>
          </w:p>
        </w:tc>
      </w:tr>
      <w:tr w:rsidR="00174C21" w:rsidTr="00A70493">
        <w:trPr>
          <w:cantSplit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174C21" w:rsidRPr="0055397E" w:rsidRDefault="00174C21" w:rsidP="00591016">
            <w:pPr>
              <w:rPr>
                <w:b/>
                <w:sz w:val="20"/>
                <w:szCs w:val="20"/>
              </w:rPr>
            </w:pPr>
            <w:r w:rsidRPr="0055397E">
              <w:rPr>
                <w:b/>
                <w:sz w:val="20"/>
                <w:szCs w:val="20"/>
              </w:rPr>
              <w:t>Секретарь общего собрания: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74C21" w:rsidRPr="00820C53" w:rsidRDefault="00174C21" w:rsidP="00174C21">
            <w:p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174C21" w:rsidRPr="00A70493" w:rsidRDefault="00A70493" w:rsidP="00174C21">
            <w:pPr>
              <w:rPr>
                <w:sz w:val="20"/>
                <w:szCs w:val="20"/>
              </w:rPr>
            </w:pPr>
            <w:r w:rsidRPr="00A70493">
              <w:rPr>
                <w:sz w:val="20"/>
                <w:szCs w:val="20"/>
              </w:rPr>
              <w:t>Шестакова Ольга Васильевна</w:t>
            </w:r>
            <w:r w:rsidR="00174C21" w:rsidRPr="00A70493">
              <w:rPr>
                <w:sz w:val="20"/>
                <w:szCs w:val="20"/>
              </w:rPr>
              <w:t>.</w:t>
            </w:r>
          </w:p>
        </w:tc>
      </w:tr>
    </w:tbl>
    <w:p w:rsidR="00174C21" w:rsidRPr="004E103A" w:rsidRDefault="00174C21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Pr="005C1DBF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C1DBF">
        <w:rPr>
          <w:sz w:val="20"/>
          <w:szCs w:val="20"/>
        </w:rPr>
        <w:t>1.</w:t>
      </w:r>
      <w:r w:rsidRPr="005C1DBF">
        <w:rPr>
          <w:sz w:val="20"/>
          <w:szCs w:val="20"/>
        </w:rPr>
        <w:tab/>
        <w:t>О последующем одобрении крупной сделки - о заключении Договора № 8627-2-202216 об открытии невозобновляемой кредитной линии от «30» июня 2016 года между ПУБЛИЧНЫМ АКЦИОНЕРНЫМ ОБЩЕСТВОМ «МУРМАНСКИЙ ТРАЛОВЫЙ ФЛОТ» (Заемщик) и Публичным акционерным обществом «Сбербанк России» (Кредитор).</w:t>
      </w:r>
    </w:p>
    <w:p w:rsidR="009A37EA" w:rsidRPr="005C1DBF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C1DBF">
        <w:rPr>
          <w:sz w:val="20"/>
          <w:szCs w:val="20"/>
        </w:rPr>
        <w:t>2.</w:t>
      </w:r>
      <w:r w:rsidRPr="005C1DBF">
        <w:rPr>
          <w:sz w:val="20"/>
          <w:szCs w:val="20"/>
        </w:rPr>
        <w:tab/>
        <w:t>О выплате вознаграждения Председателю Совета директоров ПАО «МТФ».</w:t>
      </w:r>
    </w:p>
    <w:p w:rsidR="00174C21" w:rsidRDefault="00174C21" w:rsidP="00E52D76">
      <w:pPr>
        <w:spacing w:before="80"/>
        <w:ind w:left="6480" w:hanging="6480"/>
        <w:rPr>
          <w:b/>
          <w:sz w:val="20"/>
          <w:szCs w:val="20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Результаты голосования по вопросам повестки дня:</w:t>
      </w:r>
    </w:p>
    <w:p w:rsidR="009A37EA" w:rsidRPr="005C1DBF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C1DBF">
        <w:rPr>
          <w:sz w:val="20"/>
          <w:szCs w:val="20"/>
        </w:rPr>
        <w:t>1.</w:t>
      </w:r>
      <w:r w:rsidRPr="005C1DBF">
        <w:rPr>
          <w:sz w:val="20"/>
          <w:szCs w:val="20"/>
        </w:rPr>
        <w:tab/>
        <w:t>О последующем одобрении крупной сделки - о заключении Договора № 8627-2-202216 об открытии невозобновляемой кредитной линии от «30» июня 2016 года между ПУБЛИЧНЫМ АКЦИОНЕРНЫМ ОБЩЕСТВОМ «МУРМАНСКИЙ ТРАЛОВЫЙ ФЛОТ» (Заемщик) и Публичным акционерным обществом «Сбербанк России» (Кредитор).</w:t>
      </w:r>
    </w:p>
    <w:p w:rsidR="00B911EB" w:rsidRDefault="00B911EB" w:rsidP="006F4C50">
      <w:pPr>
        <w:keepNext/>
        <w:spacing w:after="60"/>
        <w:ind w:left="539"/>
        <w:rPr>
          <w:b/>
          <w:bCs/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2 443 303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(91,7695%)</w:t>
            </w:r>
          </w:p>
        </w:tc>
      </w:tr>
    </w:tbl>
    <w:p w:rsidR="00C80358" w:rsidRPr="00E52EBF" w:rsidRDefault="00C80358" w:rsidP="00E01FCB">
      <w:pPr>
        <w:jc w:val="both"/>
        <w:rPr>
          <w:sz w:val="20"/>
          <w:szCs w:val="20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Недейств.</w:t>
            </w:r>
            <w:r w:rsidR="004977A9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2 443 303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2 442 360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498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430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99,9614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0,0204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0,0176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0,0006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93B98" w:rsidRDefault="00B93B98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591016" w:rsidRDefault="00591016" w:rsidP="006E473C">
      <w:pPr>
        <w:tabs>
          <w:tab w:val="left" w:pos="540"/>
        </w:tabs>
        <w:ind w:left="539" w:hanging="539"/>
        <w:jc w:val="both"/>
        <w:rPr>
          <w:b/>
          <w:bCs/>
          <w:sz w:val="20"/>
          <w:szCs w:val="20"/>
        </w:rPr>
      </w:pPr>
      <w:r w:rsidRPr="001C5455">
        <w:rPr>
          <w:b/>
          <w:bCs/>
          <w:sz w:val="20"/>
          <w:szCs w:val="20"/>
        </w:rPr>
        <w:lastRenderedPageBreak/>
        <w:t xml:space="preserve">Формулировка решения, </w:t>
      </w:r>
      <w:r>
        <w:rPr>
          <w:b/>
          <w:bCs/>
          <w:sz w:val="20"/>
          <w:szCs w:val="20"/>
        </w:rPr>
        <w:t>принятого по вопросу повестки дня</w:t>
      </w:r>
      <w:r w:rsidRPr="001C5455">
        <w:rPr>
          <w:b/>
          <w:bCs/>
          <w:sz w:val="20"/>
          <w:szCs w:val="20"/>
        </w:rPr>
        <w:t>:</w:t>
      </w:r>
    </w:p>
    <w:p w:rsidR="00591016" w:rsidRDefault="00591016" w:rsidP="006E473C">
      <w:pPr>
        <w:tabs>
          <w:tab w:val="left" w:pos="540"/>
        </w:tabs>
        <w:ind w:left="539" w:hanging="539"/>
        <w:jc w:val="both"/>
        <w:rPr>
          <w:b/>
          <w:bCs/>
          <w:sz w:val="20"/>
          <w:szCs w:val="20"/>
        </w:rPr>
      </w:pPr>
    </w:p>
    <w:p w:rsidR="00591016" w:rsidRPr="005C1DBF" w:rsidRDefault="00591016" w:rsidP="00591016">
      <w:pPr>
        <w:keepLines/>
        <w:tabs>
          <w:tab w:val="left" w:pos="851"/>
        </w:tabs>
        <w:spacing w:line="240" w:lineRule="atLeast"/>
        <w:ind w:left="567"/>
        <w:jc w:val="both"/>
        <w:rPr>
          <w:spacing w:val="-10"/>
          <w:sz w:val="20"/>
          <w:szCs w:val="20"/>
        </w:rPr>
      </w:pPr>
      <w:r w:rsidRPr="005C1DBF">
        <w:rPr>
          <w:spacing w:val="-10"/>
          <w:sz w:val="20"/>
          <w:szCs w:val="20"/>
          <w:lang w:eastAsia="en-US"/>
        </w:rPr>
        <w:t>1. Одобрить в последующем порядке крупную сделку по</w:t>
      </w:r>
      <w:r w:rsidRPr="005C1DBF">
        <w:rPr>
          <w:spacing w:val="-10"/>
          <w:sz w:val="20"/>
          <w:szCs w:val="20"/>
        </w:rPr>
        <w:t xml:space="preserve"> заключению Договора  № 8627-2-202216 об открытии невозобновляемой кредитной линии от «30» июня 2016 года между </w:t>
      </w:r>
      <w:r w:rsidRPr="005C1DBF">
        <w:rPr>
          <w:iCs/>
          <w:spacing w:val="-10"/>
          <w:sz w:val="20"/>
          <w:szCs w:val="20"/>
        </w:rPr>
        <w:t>ПУБЛИЧНЫМ АКЦИОНЕРНЫМ ОБЩЕСТВОМ «МУРМАНСКИЙ ТРАЛОВЫЙ ФЛОТ»</w:t>
      </w:r>
      <w:r w:rsidRPr="005C1DBF">
        <w:rPr>
          <w:spacing w:val="-10"/>
          <w:sz w:val="20"/>
          <w:szCs w:val="20"/>
        </w:rPr>
        <w:t xml:space="preserve"> и Публичным акционерным обществом «Сбербанк России» (далее ― Договор НКЛ) на следующих существенных условиях:</w:t>
      </w:r>
    </w:p>
    <w:p w:rsidR="00591016" w:rsidRPr="005C1DBF" w:rsidRDefault="00591016" w:rsidP="00591016">
      <w:pPr>
        <w:pStyle w:val="1"/>
        <w:keepLines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0"/>
          <w:szCs w:val="20"/>
        </w:rPr>
      </w:pPr>
      <w:r w:rsidRPr="005C1DBF">
        <w:rPr>
          <w:rFonts w:ascii="Times New Roman" w:hAnsi="Times New Roman"/>
          <w:spacing w:val="-10"/>
          <w:sz w:val="20"/>
          <w:szCs w:val="20"/>
        </w:rPr>
        <w:t>Заемщик ― ПУБЛИЧНОЕ АКЦИОНЕРНОЕ ОБЩЕСТВО «МУРМАНСКИЙ ТРАЛОВЫЙ ФЛОТ».</w:t>
      </w:r>
    </w:p>
    <w:p w:rsidR="00591016" w:rsidRPr="005C1DBF" w:rsidRDefault="00591016" w:rsidP="00591016">
      <w:pPr>
        <w:pStyle w:val="1"/>
        <w:keepLines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0"/>
          <w:szCs w:val="20"/>
        </w:rPr>
      </w:pPr>
      <w:r w:rsidRPr="005C1DBF">
        <w:rPr>
          <w:rFonts w:ascii="Times New Roman" w:hAnsi="Times New Roman"/>
          <w:spacing w:val="-10"/>
          <w:sz w:val="20"/>
          <w:szCs w:val="20"/>
        </w:rPr>
        <w:t>Кредитор ― Публичное акционерное общество «Сбербанк России».</w:t>
      </w:r>
    </w:p>
    <w:p w:rsidR="00591016" w:rsidRPr="005C1DBF" w:rsidRDefault="00591016" w:rsidP="00591016">
      <w:pPr>
        <w:pStyle w:val="1"/>
        <w:keepLines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0"/>
          <w:szCs w:val="20"/>
        </w:rPr>
      </w:pPr>
      <w:r w:rsidRPr="005C1DBF">
        <w:rPr>
          <w:rFonts w:ascii="Times New Roman" w:hAnsi="Times New Roman"/>
          <w:spacing w:val="-10"/>
          <w:sz w:val="20"/>
          <w:szCs w:val="20"/>
        </w:rPr>
        <w:t xml:space="preserve">Сумма кредита и срок возврата кредита: </w:t>
      </w:r>
      <w:r w:rsidRPr="005C1DBF">
        <w:rPr>
          <w:rFonts w:ascii="Times New Roman" w:hAnsi="Times New Roman"/>
          <w:iCs/>
          <w:spacing w:val="-10"/>
          <w:sz w:val="20"/>
          <w:szCs w:val="20"/>
        </w:rPr>
        <w:t>52 240 000 (Пятьдесят два миллиона двести сорок тысяч) долларов США</w:t>
      </w:r>
      <w:r w:rsidRPr="005C1DBF">
        <w:rPr>
          <w:rFonts w:ascii="Times New Roman" w:hAnsi="Times New Roman"/>
          <w:spacing w:val="-10"/>
          <w:sz w:val="20"/>
          <w:szCs w:val="20"/>
        </w:rPr>
        <w:t xml:space="preserve"> 00 центов на срок 84 (Восемьдесят четыре) месяца.</w:t>
      </w:r>
    </w:p>
    <w:p w:rsidR="00591016" w:rsidRPr="005C1DBF" w:rsidRDefault="00591016" w:rsidP="00591016">
      <w:pPr>
        <w:pStyle w:val="1"/>
        <w:keepLines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spacing w:val="-10"/>
          <w:sz w:val="20"/>
          <w:szCs w:val="20"/>
        </w:rPr>
        <w:t xml:space="preserve">Целевое назначение кредита: </w:t>
      </w:r>
      <w:r w:rsidRPr="005C1DBF">
        <w:rPr>
          <w:rFonts w:ascii="Times New Roman" w:hAnsi="Times New Roman"/>
          <w:iCs/>
          <w:spacing w:val="-10"/>
          <w:sz w:val="20"/>
          <w:szCs w:val="20"/>
        </w:rPr>
        <w:t>Финансирование затрат по покупке 100% акций ОАО «Карельские морепродукты».</w:t>
      </w:r>
    </w:p>
    <w:p w:rsidR="00591016" w:rsidRPr="005C1DBF" w:rsidRDefault="00591016" w:rsidP="00591016">
      <w:pPr>
        <w:keepLines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10"/>
          <w:sz w:val="20"/>
          <w:szCs w:val="20"/>
          <w:lang w:eastAsia="en-US"/>
        </w:rPr>
      </w:pPr>
      <w:r w:rsidRPr="005C1DBF">
        <w:rPr>
          <w:bCs/>
          <w:spacing w:val="-10"/>
          <w:sz w:val="20"/>
          <w:szCs w:val="20"/>
        </w:rPr>
        <w:t xml:space="preserve">Процентная ставка: </w:t>
      </w:r>
      <w:r w:rsidRPr="005C1DBF">
        <w:rPr>
          <w:spacing w:val="-10"/>
          <w:sz w:val="20"/>
          <w:szCs w:val="20"/>
          <w:lang w:eastAsia="en-US"/>
        </w:rPr>
        <w:t>Плавающая процентная ставка с переменной маржой:</w:t>
      </w:r>
    </w:p>
    <w:p w:rsidR="00591016" w:rsidRPr="005C1DBF" w:rsidRDefault="00591016" w:rsidP="00591016">
      <w:pPr>
        <w:pStyle w:val="1"/>
        <w:keepLines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 xml:space="preserve">С даты заключения Договора НКЛ по «30» сентября </w:t>
      </w:r>
      <w:smartTag w:uri="urn:schemas-microsoft-com:office:smarttags" w:element="metricconverter">
        <w:smartTagPr>
          <w:attr w:name="ProductID" w:val="2016 г"/>
        </w:smartTagPr>
        <w:r w:rsidRPr="005C1DBF">
          <w:rPr>
            <w:rFonts w:ascii="Times New Roman" w:hAnsi="Times New Roman"/>
            <w:bCs/>
            <w:spacing w:val="-10"/>
            <w:sz w:val="20"/>
            <w:szCs w:val="20"/>
          </w:rPr>
          <w:t>2016 г</w:t>
        </w:r>
      </w:smartTag>
      <w:r w:rsidRPr="005C1DBF">
        <w:rPr>
          <w:rFonts w:ascii="Times New Roman" w:hAnsi="Times New Roman"/>
          <w:bCs/>
          <w:spacing w:val="-10"/>
          <w:sz w:val="20"/>
          <w:szCs w:val="20"/>
        </w:rPr>
        <w:t>. (включительно): по ставке LIBOR 3M + 7,10% годовых;</w:t>
      </w:r>
    </w:p>
    <w:p w:rsidR="00591016" w:rsidRPr="005C1DBF" w:rsidRDefault="00591016" w:rsidP="00591016">
      <w:pPr>
        <w:pStyle w:val="1"/>
        <w:keepLines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pacing w:val="-10"/>
          <w:sz w:val="20"/>
          <w:szCs w:val="20"/>
          <w:vertAlign w:val="subscript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 xml:space="preserve">С «01» октября </w:t>
      </w:r>
      <w:smartTag w:uri="urn:schemas-microsoft-com:office:smarttags" w:element="metricconverter">
        <w:smartTagPr>
          <w:attr w:name="ProductID" w:val="2016 г"/>
        </w:smartTagPr>
        <w:r w:rsidRPr="005C1DBF">
          <w:rPr>
            <w:rFonts w:ascii="Times New Roman" w:hAnsi="Times New Roman"/>
            <w:bCs/>
            <w:spacing w:val="-10"/>
            <w:sz w:val="20"/>
            <w:szCs w:val="20"/>
          </w:rPr>
          <w:t>2016 г</w:t>
        </w:r>
      </w:smartTag>
      <w:r w:rsidRPr="005C1DBF">
        <w:rPr>
          <w:rFonts w:ascii="Times New Roman" w:hAnsi="Times New Roman"/>
          <w:bCs/>
          <w:spacing w:val="-10"/>
          <w:sz w:val="20"/>
          <w:szCs w:val="20"/>
        </w:rPr>
        <w:t>. (включительно) по дату окончания срока финансирования по Договору НКЛ: по ставке LIBOR 3M + Маржа</w:t>
      </w:r>
      <w:r w:rsidRPr="005C1DBF">
        <w:rPr>
          <w:rFonts w:ascii="Times New Roman" w:hAnsi="Times New Roman"/>
          <w:bCs/>
          <w:spacing w:val="-10"/>
          <w:sz w:val="20"/>
          <w:szCs w:val="20"/>
          <w:vertAlign w:val="subscript"/>
        </w:rPr>
        <w:t>переменная.</w:t>
      </w:r>
    </w:p>
    <w:p w:rsidR="00591016" w:rsidRPr="005C1DBF" w:rsidRDefault="00591016" w:rsidP="00591016">
      <w:pPr>
        <w:pStyle w:val="1"/>
        <w:keepLines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pacing w:val="-10"/>
          <w:sz w:val="20"/>
          <w:szCs w:val="20"/>
        </w:rPr>
      </w:pPr>
    </w:p>
    <w:p w:rsidR="00591016" w:rsidRPr="005C1DBF" w:rsidRDefault="00591016" w:rsidP="00591016">
      <w:pPr>
        <w:pStyle w:val="1"/>
        <w:keepLines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>Порядок установления переменной маржи:</w:t>
      </w:r>
    </w:p>
    <w:tbl>
      <w:tblPr>
        <w:tblpPr w:leftFromText="180" w:rightFromText="180" w:vertAnchor="text" w:tblpY="1"/>
        <w:tblOverlap w:val="never"/>
        <w:tblW w:w="49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7"/>
        <w:gridCol w:w="3117"/>
        <w:gridCol w:w="3130"/>
      </w:tblGrid>
      <w:tr w:rsidR="00591016" w:rsidRPr="005C1DBF" w:rsidTr="00591016">
        <w:trPr>
          <w:cantSplit/>
          <w:trHeight w:val="32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rPr>
                <w:bCs/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Критерии для установления переменной маржи:</w:t>
            </w:r>
          </w:p>
        </w:tc>
        <w:tc>
          <w:tcPr>
            <w:tcW w:w="3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jc w:val="both"/>
              <w:rPr>
                <w:bCs/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 xml:space="preserve">С «01»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1DBF">
                <w:rPr>
                  <w:iCs/>
                  <w:spacing w:val="-10"/>
                  <w:sz w:val="20"/>
                  <w:szCs w:val="20"/>
                </w:rPr>
                <w:t>2016 г</w:t>
              </w:r>
            </w:smartTag>
            <w:r w:rsidRPr="005C1DBF">
              <w:rPr>
                <w:iCs/>
                <w:spacing w:val="-10"/>
                <w:sz w:val="20"/>
                <w:szCs w:val="20"/>
              </w:rPr>
              <w:t>. (включительно) по дату окончания срока финансирования по Договору НКЛ</w:t>
            </w:r>
          </w:p>
        </w:tc>
      </w:tr>
      <w:tr w:rsidR="00591016" w:rsidRPr="005C1DBF" w:rsidTr="00591016">
        <w:trPr>
          <w:cantSplit/>
        </w:trPr>
        <w:tc>
          <w:tcPr>
            <w:tcW w:w="17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Сумма среднедневных остатков (рублей)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до 20 000 000 (невключительно)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свыше 20 000 000 (включительно)</w:t>
            </w:r>
          </w:p>
        </w:tc>
      </w:tr>
      <w:tr w:rsidR="00591016" w:rsidRPr="005C1DBF" w:rsidTr="00591016">
        <w:trPr>
          <w:cantSplit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Доля перечислений заработной платы на счета работников рыбодобывающих компаний ГК «КАРАТ», указанных в Договоре НКЛ, %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менее 90% от общего объёма перечислений заработной платы</w:t>
            </w:r>
          </w:p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(невключительно)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не менее 90% от общего объёма перечислений заработной платы</w:t>
            </w:r>
          </w:p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(включительно)</w:t>
            </w:r>
          </w:p>
        </w:tc>
      </w:tr>
      <w:tr w:rsidR="00591016" w:rsidRPr="005C1DBF" w:rsidTr="00591016">
        <w:trPr>
          <w:cantSplit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Размер выручки (рублей)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до 1 000 000 000</w:t>
            </w:r>
          </w:p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(невключительно)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свыше 1 000 000 000 (включительно)</w:t>
            </w:r>
          </w:p>
        </w:tc>
      </w:tr>
      <w:tr w:rsidR="00591016" w:rsidRPr="005C1DBF" w:rsidTr="00591016">
        <w:trPr>
          <w:cantSplit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16" w:rsidRPr="005C1DBF" w:rsidRDefault="00591016" w:rsidP="00591016">
            <w:pPr>
              <w:keepLines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Процентная ставка, % годовых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8,10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7,10</w:t>
            </w:r>
          </w:p>
        </w:tc>
      </w:tr>
    </w:tbl>
    <w:p w:rsidR="00591016" w:rsidRPr="005C1DBF" w:rsidRDefault="00591016" w:rsidP="00591016">
      <w:pPr>
        <w:keepLines/>
        <w:ind w:firstLine="709"/>
        <w:jc w:val="both"/>
        <w:rPr>
          <w:iCs/>
          <w:spacing w:val="-10"/>
          <w:sz w:val="20"/>
          <w:szCs w:val="20"/>
        </w:rPr>
      </w:pPr>
      <w:r w:rsidRPr="005C1DBF">
        <w:rPr>
          <w:iCs/>
          <w:spacing w:val="-10"/>
          <w:sz w:val="20"/>
          <w:szCs w:val="20"/>
        </w:rPr>
        <w:t>За Расчетный период при определении значения критерия для установления переменной маржи (процентной ставки) принимается истекший календарный квартал.</w:t>
      </w:r>
    </w:p>
    <w:p w:rsidR="00591016" w:rsidRPr="005C1DBF" w:rsidRDefault="00591016" w:rsidP="00591016">
      <w:pPr>
        <w:keepLines/>
        <w:ind w:firstLine="709"/>
        <w:jc w:val="both"/>
        <w:rPr>
          <w:iCs/>
          <w:spacing w:val="-10"/>
          <w:sz w:val="20"/>
          <w:szCs w:val="20"/>
        </w:rPr>
      </w:pPr>
      <w:r w:rsidRPr="005C1DBF">
        <w:rPr>
          <w:iCs/>
          <w:spacing w:val="-10"/>
          <w:sz w:val="20"/>
          <w:szCs w:val="20"/>
        </w:rPr>
        <w:t>Переменная маржа (процентная ставка) устанавливается ежеквартально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ставке, установленной на Процентный период, в соответствии с Таблицей соответствия Расчетного и Процентного периодов: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7"/>
        <w:gridCol w:w="3261"/>
      </w:tblGrid>
      <w:tr w:rsidR="00591016" w:rsidRPr="005C1DBF" w:rsidTr="00591016">
        <w:trPr>
          <w:jc w:val="center"/>
        </w:trPr>
        <w:tc>
          <w:tcPr>
            <w:tcW w:w="3247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Расчетный период</w:t>
            </w:r>
          </w:p>
        </w:tc>
        <w:tc>
          <w:tcPr>
            <w:tcW w:w="3261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Процентный период</w:t>
            </w:r>
          </w:p>
        </w:tc>
      </w:tr>
      <w:tr w:rsidR="00591016" w:rsidRPr="005C1DBF" w:rsidTr="00591016">
        <w:trPr>
          <w:trHeight w:val="53"/>
          <w:jc w:val="center"/>
        </w:trPr>
        <w:tc>
          <w:tcPr>
            <w:tcW w:w="3247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сентября по 30 ноября</w:t>
            </w:r>
          </w:p>
        </w:tc>
        <w:tc>
          <w:tcPr>
            <w:tcW w:w="3261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января по 31 марта</w:t>
            </w:r>
          </w:p>
        </w:tc>
      </w:tr>
      <w:tr w:rsidR="00591016" w:rsidRPr="005C1DBF" w:rsidTr="00591016">
        <w:trPr>
          <w:trHeight w:val="53"/>
          <w:jc w:val="center"/>
        </w:trPr>
        <w:tc>
          <w:tcPr>
            <w:tcW w:w="3247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декабря по 28 (29) февраля</w:t>
            </w:r>
          </w:p>
        </w:tc>
        <w:tc>
          <w:tcPr>
            <w:tcW w:w="3261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апреля по 30 июня</w:t>
            </w:r>
          </w:p>
        </w:tc>
      </w:tr>
      <w:tr w:rsidR="00591016" w:rsidRPr="005C1DBF" w:rsidTr="00591016">
        <w:trPr>
          <w:trHeight w:val="53"/>
          <w:jc w:val="center"/>
        </w:trPr>
        <w:tc>
          <w:tcPr>
            <w:tcW w:w="3247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марта по 31 мая</w:t>
            </w:r>
          </w:p>
        </w:tc>
        <w:tc>
          <w:tcPr>
            <w:tcW w:w="3261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июля по 30 сентября</w:t>
            </w:r>
          </w:p>
        </w:tc>
      </w:tr>
      <w:tr w:rsidR="00591016" w:rsidRPr="005C1DBF" w:rsidTr="00591016">
        <w:trPr>
          <w:trHeight w:val="53"/>
          <w:jc w:val="center"/>
        </w:trPr>
        <w:tc>
          <w:tcPr>
            <w:tcW w:w="3247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июня по 31 августа</w:t>
            </w:r>
          </w:p>
        </w:tc>
        <w:tc>
          <w:tcPr>
            <w:tcW w:w="3261" w:type="dxa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01 октября по 31 декабря</w:t>
            </w:r>
          </w:p>
        </w:tc>
      </w:tr>
    </w:tbl>
    <w:p w:rsidR="00591016" w:rsidRPr="005C1DBF" w:rsidRDefault="00591016" w:rsidP="00591016">
      <w:pPr>
        <w:pStyle w:val="1"/>
        <w:keepLine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>Порядок актуализации значения ставки LIBOR 3M:</w:t>
      </w:r>
    </w:p>
    <w:p w:rsidR="00591016" w:rsidRPr="005C1DBF" w:rsidRDefault="00591016" w:rsidP="00591016">
      <w:pPr>
        <w:keepLines/>
        <w:ind w:firstLine="709"/>
        <w:jc w:val="both"/>
        <w:rPr>
          <w:iCs/>
          <w:spacing w:val="-10"/>
          <w:sz w:val="20"/>
          <w:szCs w:val="20"/>
        </w:rPr>
      </w:pPr>
      <w:r w:rsidRPr="005C1DBF">
        <w:rPr>
          <w:iCs/>
          <w:spacing w:val="-10"/>
          <w:sz w:val="20"/>
          <w:szCs w:val="20"/>
        </w:rPr>
        <w:t>Ежеквартально в соответствии с таблицей:</w:t>
      </w: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4115"/>
      </w:tblGrid>
      <w:tr w:rsidR="00591016" w:rsidRPr="005C1DBF" w:rsidTr="00591016">
        <w:trPr>
          <w:trHeight w:val="93"/>
          <w:jc w:val="center"/>
        </w:trPr>
        <w:tc>
          <w:tcPr>
            <w:tcW w:w="2425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Даты котировки ставки LIBOR 3M</w:t>
            </w:r>
          </w:p>
        </w:tc>
        <w:tc>
          <w:tcPr>
            <w:tcW w:w="4115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Процентный период</w:t>
            </w:r>
          </w:p>
        </w:tc>
      </w:tr>
      <w:tr w:rsidR="00591016" w:rsidRPr="005C1DBF" w:rsidTr="00591016">
        <w:trPr>
          <w:trHeight w:val="93"/>
          <w:jc w:val="center"/>
        </w:trPr>
        <w:tc>
          <w:tcPr>
            <w:tcW w:w="2425" w:type="dxa"/>
            <w:vMerge w:val="restart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Дата, предшествующая очередному процентному периоду за 2 рабочих дня (включительно)</w:t>
            </w:r>
          </w:p>
        </w:tc>
        <w:tc>
          <w:tcPr>
            <w:tcW w:w="4115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«26» июня по «25» сентября</w:t>
            </w:r>
          </w:p>
        </w:tc>
      </w:tr>
      <w:tr w:rsidR="00591016" w:rsidRPr="005C1DBF" w:rsidTr="00591016">
        <w:trPr>
          <w:trHeight w:val="93"/>
          <w:jc w:val="center"/>
        </w:trPr>
        <w:tc>
          <w:tcPr>
            <w:tcW w:w="2422" w:type="dxa"/>
            <w:vMerge/>
            <w:vAlign w:val="center"/>
          </w:tcPr>
          <w:p w:rsidR="00591016" w:rsidRPr="005C1DBF" w:rsidRDefault="00591016" w:rsidP="00591016">
            <w:pPr>
              <w:keepLines/>
              <w:ind w:firstLine="709"/>
              <w:jc w:val="center"/>
              <w:rPr>
                <w:iCs/>
                <w:spacing w:val="-1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«26» сентября по «25» декабря</w:t>
            </w:r>
          </w:p>
        </w:tc>
      </w:tr>
      <w:tr w:rsidR="00591016" w:rsidRPr="005C1DBF" w:rsidTr="00591016">
        <w:trPr>
          <w:trHeight w:val="93"/>
          <w:jc w:val="center"/>
        </w:trPr>
        <w:tc>
          <w:tcPr>
            <w:tcW w:w="2422" w:type="dxa"/>
            <w:vMerge/>
            <w:vAlign w:val="center"/>
          </w:tcPr>
          <w:p w:rsidR="00591016" w:rsidRPr="005C1DBF" w:rsidRDefault="00591016" w:rsidP="00591016">
            <w:pPr>
              <w:keepLines/>
              <w:ind w:firstLine="709"/>
              <w:jc w:val="center"/>
              <w:rPr>
                <w:iCs/>
                <w:spacing w:val="-1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«26» декабря по «25» марта</w:t>
            </w:r>
          </w:p>
        </w:tc>
      </w:tr>
      <w:tr w:rsidR="00591016" w:rsidRPr="005C1DBF" w:rsidTr="00591016">
        <w:trPr>
          <w:trHeight w:val="53"/>
          <w:jc w:val="center"/>
        </w:trPr>
        <w:tc>
          <w:tcPr>
            <w:tcW w:w="2422" w:type="dxa"/>
            <w:vMerge/>
            <w:vAlign w:val="center"/>
          </w:tcPr>
          <w:p w:rsidR="00591016" w:rsidRPr="005C1DBF" w:rsidRDefault="00591016" w:rsidP="00591016">
            <w:pPr>
              <w:keepLines/>
              <w:ind w:firstLine="709"/>
              <w:jc w:val="center"/>
              <w:rPr>
                <w:iCs/>
                <w:spacing w:val="-1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с «26» марта по «25» июня</w:t>
            </w:r>
          </w:p>
        </w:tc>
      </w:tr>
    </w:tbl>
    <w:p w:rsidR="00591016" w:rsidRPr="005C1DBF" w:rsidRDefault="00591016" w:rsidP="00591016">
      <w:pPr>
        <w:pStyle w:val="1"/>
        <w:keepLine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>Ставка замещения: 5% годовых</w:t>
      </w:r>
    </w:p>
    <w:p w:rsidR="00591016" w:rsidRPr="005C1DBF" w:rsidRDefault="00591016" w:rsidP="00591016">
      <w:pPr>
        <w:pStyle w:val="1"/>
        <w:keepLines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5C1DBF">
        <w:rPr>
          <w:rFonts w:ascii="Times New Roman" w:hAnsi="Times New Roman"/>
          <w:bCs/>
          <w:spacing w:val="-10"/>
          <w:sz w:val="20"/>
          <w:szCs w:val="20"/>
        </w:rPr>
        <w:t>Кредитор имеет право в одностороннем порядке увеличивать или уменьшать процентную ставку по кредиту без заключения дополнительного соглашения, путем письменного уведомления.</w:t>
      </w:r>
    </w:p>
    <w:p w:rsidR="00591016" w:rsidRPr="005C1DBF" w:rsidRDefault="00591016" w:rsidP="00591016">
      <w:pPr>
        <w:keepLines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  <w:rPr>
          <w:iCs/>
          <w:spacing w:val="-10"/>
          <w:sz w:val="20"/>
          <w:szCs w:val="20"/>
        </w:rPr>
      </w:pPr>
      <w:r w:rsidRPr="005C1DBF">
        <w:rPr>
          <w:iCs/>
          <w:spacing w:val="-10"/>
          <w:sz w:val="20"/>
          <w:szCs w:val="20"/>
        </w:rPr>
        <w:t xml:space="preserve">Плата за резервирование </w:t>
      </w:r>
      <w:r w:rsidRPr="005C1DBF">
        <w:rPr>
          <w:spacing w:val="-10"/>
          <w:sz w:val="20"/>
          <w:szCs w:val="20"/>
        </w:rPr>
        <w:t>―</w:t>
      </w:r>
      <w:r w:rsidRPr="005C1DBF">
        <w:rPr>
          <w:iCs/>
          <w:spacing w:val="-10"/>
          <w:sz w:val="20"/>
          <w:szCs w:val="20"/>
        </w:rPr>
        <w:t xml:space="preserve"> 522 400 (Пятьсот двадцать две тысячи четыреста) долларов США 00 центов.</w:t>
      </w:r>
    </w:p>
    <w:p w:rsidR="00591016" w:rsidRPr="005C1DBF" w:rsidRDefault="00591016" w:rsidP="00591016">
      <w:pPr>
        <w:keepLines/>
        <w:tabs>
          <w:tab w:val="left" w:pos="851"/>
        </w:tabs>
        <w:autoSpaceDE w:val="0"/>
        <w:autoSpaceDN w:val="0"/>
        <w:ind w:firstLine="851"/>
        <w:jc w:val="both"/>
        <w:rPr>
          <w:iCs/>
          <w:spacing w:val="-10"/>
          <w:sz w:val="20"/>
          <w:szCs w:val="20"/>
        </w:rPr>
      </w:pPr>
      <w:r w:rsidRPr="005C1DBF">
        <w:rPr>
          <w:spacing w:val="-10"/>
          <w:sz w:val="20"/>
          <w:szCs w:val="20"/>
        </w:rPr>
        <w:t>Плата за резервирование уплачивается Заемщиком Кредитору единовременно до первой выдачи кредита, но не позднее 10 рабочих дней с даты заключения Договора НКЛ включительно.</w:t>
      </w:r>
    </w:p>
    <w:p w:rsidR="00591016" w:rsidRPr="005C1DBF" w:rsidRDefault="00591016" w:rsidP="00591016">
      <w:pPr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Плата за пользование лимитом кредитной линии ― 0</w:t>
      </w:r>
      <w:r w:rsidRPr="005C1DBF">
        <w:rPr>
          <w:bCs/>
          <w:iCs/>
          <w:spacing w:val="-10"/>
          <w:sz w:val="20"/>
          <w:szCs w:val="20"/>
        </w:rPr>
        <w:t>,5 (Ноль целых пять десятых) процента годовых от свободного остатка лимита по Договору НКЛ</w:t>
      </w:r>
      <w:r w:rsidRPr="005C1DBF">
        <w:rPr>
          <w:bCs/>
          <w:spacing w:val="-10"/>
          <w:sz w:val="20"/>
          <w:szCs w:val="20"/>
        </w:rPr>
        <w:t>.</w:t>
      </w:r>
    </w:p>
    <w:p w:rsidR="00591016" w:rsidRPr="005C1DBF" w:rsidRDefault="00591016" w:rsidP="00591016">
      <w:pPr>
        <w:keepLines/>
        <w:tabs>
          <w:tab w:val="left" w:pos="851"/>
        </w:tabs>
        <w:autoSpaceDE w:val="0"/>
        <w:autoSpaceDN w:val="0"/>
        <w:ind w:firstLine="851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Порядок уплаты платы:  в установленные условиями Договора НКЛ даты уплаты процентов, в сумме начисленной на указанные даты (включительно) платы.</w:t>
      </w:r>
    </w:p>
    <w:p w:rsidR="00591016" w:rsidRPr="005C1DBF" w:rsidRDefault="00591016" w:rsidP="00591016">
      <w:pPr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284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Плата за досрочный возврат кредита: взимается при любом досрочном погашении кредита.</w:t>
      </w:r>
    </w:p>
    <w:p w:rsidR="00591016" w:rsidRPr="005C1DBF" w:rsidRDefault="00591016" w:rsidP="00591016">
      <w:pPr>
        <w:keepLines/>
        <w:tabs>
          <w:tab w:val="left" w:pos="851"/>
        </w:tabs>
        <w:autoSpaceDE w:val="0"/>
        <w:autoSpaceDN w:val="0"/>
        <w:ind w:left="851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Размер платы: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3"/>
        <w:gridCol w:w="3973"/>
      </w:tblGrid>
      <w:tr w:rsidR="00591016" w:rsidRPr="005C1DBF" w:rsidTr="00591016">
        <w:trPr>
          <w:trHeight w:val="47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pStyle w:val="a8"/>
              <w:keepLines/>
              <w:spacing w:before="0"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5C1DB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lastRenderedPageBreak/>
              <w:t>Срок до погашения (от первоначального), 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016" w:rsidRPr="005C1DBF" w:rsidRDefault="00591016" w:rsidP="00591016">
            <w:pPr>
              <w:pStyle w:val="a8"/>
              <w:keepLines/>
              <w:spacing w:before="0" w:after="0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 w:rsidRPr="005C1DBF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Размер платы в % годовых от досрочно возвращаемой суммы кредита (его части)</w:t>
            </w:r>
          </w:p>
        </w:tc>
      </w:tr>
      <w:tr w:rsidR="00591016" w:rsidRPr="005C1DBF" w:rsidTr="00591016">
        <w:trPr>
          <w:trHeight w:val="12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10</w:t>
            </w:r>
            <w:r w:rsidRPr="005C1DBF">
              <w:rPr>
                <w:spacing w:val="-10"/>
                <w:sz w:val="20"/>
                <w:szCs w:val="20"/>
                <w:lang w:val="en-US"/>
              </w:rPr>
              <w:t>0-5</w:t>
            </w:r>
            <w:r w:rsidRPr="005C1DBF">
              <w:rPr>
                <w:spacing w:val="-10"/>
                <w:sz w:val="20"/>
                <w:szCs w:val="20"/>
              </w:rPr>
              <w:t>1</w:t>
            </w:r>
            <w:r w:rsidRPr="005C1DBF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2%</w:t>
            </w:r>
          </w:p>
        </w:tc>
      </w:tr>
      <w:tr w:rsidR="00591016" w:rsidRPr="005C1DBF" w:rsidTr="00591016">
        <w:trPr>
          <w:trHeight w:val="58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50-21%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1%</w:t>
            </w:r>
          </w:p>
        </w:tc>
      </w:tr>
      <w:tr w:rsidR="00591016" w:rsidRPr="005C1DBF" w:rsidTr="00591016">
        <w:trPr>
          <w:trHeight w:val="6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20% и менее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6" w:rsidRPr="005C1DBF" w:rsidRDefault="00591016" w:rsidP="00591016">
            <w:pPr>
              <w:keepLines/>
              <w:jc w:val="center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0%</w:t>
            </w:r>
          </w:p>
        </w:tc>
      </w:tr>
    </w:tbl>
    <w:p w:rsidR="00591016" w:rsidRPr="005C1DBF" w:rsidRDefault="00591016" w:rsidP="00591016">
      <w:pPr>
        <w:keepLines/>
        <w:tabs>
          <w:tab w:val="left" w:pos="851"/>
        </w:tabs>
        <w:autoSpaceDE w:val="0"/>
        <w:autoSpaceDN w:val="0"/>
        <w:ind w:left="851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Срок уведомления о досрочном погашении кредита (его части): не устанавливается.</w:t>
      </w:r>
    </w:p>
    <w:p w:rsidR="00591016" w:rsidRPr="005C1DBF" w:rsidRDefault="00591016" w:rsidP="00591016">
      <w:pPr>
        <w:keepLines/>
        <w:tabs>
          <w:tab w:val="left" w:pos="0"/>
        </w:tabs>
        <w:autoSpaceDE w:val="0"/>
        <w:autoSpaceDN w:val="0"/>
        <w:ind w:firstLine="851"/>
        <w:jc w:val="both"/>
        <w:rPr>
          <w:bCs/>
          <w:spacing w:val="-10"/>
          <w:sz w:val="20"/>
          <w:szCs w:val="20"/>
        </w:rPr>
      </w:pPr>
      <w:r w:rsidRPr="005C1DBF">
        <w:rPr>
          <w:bCs/>
          <w:spacing w:val="-10"/>
          <w:sz w:val="20"/>
          <w:szCs w:val="20"/>
        </w:rPr>
        <w:t>Порядок начисления платы: за период с фактической даты погашения (не включая эту дату) до плановой даты погашения, установленной Договором (включительно).</w:t>
      </w:r>
    </w:p>
    <w:p w:rsidR="00591016" w:rsidRPr="005C1DBF" w:rsidRDefault="00591016" w:rsidP="00591016">
      <w:pPr>
        <w:pStyle w:val="1"/>
        <w:keepLines/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0"/>
          <w:szCs w:val="20"/>
          <w:lang w:eastAsia="ru-RU"/>
        </w:rPr>
      </w:pPr>
      <w:r w:rsidRPr="005C1DBF">
        <w:rPr>
          <w:rFonts w:ascii="Times New Roman" w:hAnsi="Times New Roman"/>
          <w:spacing w:val="-10"/>
          <w:sz w:val="20"/>
          <w:szCs w:val="20"/>
          <w:lang w:eastAsia="ru-RU"/>
        </w:rPr>
        <w:t xml:space="preserve">Неустойка: в размере 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eastAsia="ru-RU"/>
        </w:rPr>
        <w:t xml:space="preserve">DSCdls </w:t>
      </w:r>
      <w:r w:rsidRPr="005C1DBF">
        <w:rPr>
          <w:rFonts w:ascii="Times New Roman" w:hAnsi="Times New Roman"/>
          <w:spacing w:val="-10"/>
          <w:sz w:val="20"/>
          <w:szCs w:val="20"/>
          <w:lang w:eastAsia="ru-RU"/>
        </w:rPr>
        <w:t>максимальной процентной ставки по Договору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val="en-US" w:eastAsia="ru-RU"/>
        </w:rPr>
        <w:t>DSCdls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eastAsia="ru-RU"/>
        </w:rPr>
        <w:t xml:space="preserve"> </w:t>
      </w:r>
      <w:r w:rsidRPr="005C1DBF">
        <w:rPr>
          <w:rFonts w:ascii="Times New Roman" w:hAnsi="Times New Roman"/>
          <w:spacing w:val="-10"/>
          <w:sz w:val="20"/>
          <w:szCs w:val="20"/>
          <w:lang w:eastAsia="ru-RU"/>
        </w:rPr>
        <w:t xml:space="preserve">, 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val="en-US" w:eastAsia="ru-RU"/>
        </w:rPr>
        <w:t>DSCdls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eastAsia="ru-RU"/>
        </w:rPr>
        <w:t xml:space="preserve"> </w:t>
      </w:r>
      <w:r w:rsidRPr="005C1DBF">
        <w:rPr>
          <w:rFonts w:ascii="Times New Roman" w:hAnsi="Times New Roman"/>
          <w:spacing w:val="-10"/>
          <w:sz w:val="20"/>
          <w:szCs w:val="20"/>
          <w:lang w:eastAsia="ru-RU"/>
        </w:rPr>
        <w:t>увеличенной в 2 (Два) раза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val="en-US" w:eastAsia="ru-RU"/>
        </w:rPr>
        <w:t>DSCdls</w:t>
      </w:r>
      <w:r w:rsidRPr="005C1DBF">
        <w:rPr>
          <w:rFonts w:ascii="Times New Roman" w:hAnsi="Times New Roman"/>
          <w:vanish/>
          <w:spacing w:val="-10"/>
          <w:sz w:val="20"/>
          <w:szCs w:val="20"/>
          <w:lang w:eastAsia="ru-RU"/>
        </w:rPr>
        <w:t xml:space="preserve"> </w:t>
      </w:r>
      <w:r w:rsidRPr="005C1DBF">
        <w:rPr>
          <w:rFonts w:ascii="Times New Roman" w:hAnsi="Times New Roman"/>
          <w:spacing w:val="-10"/>
          <w:sz w:val="20"/>
          <w:szCs w:val="20"/>
          <w:lang w:eastAsia="ru-RU"/>
        </w:rPr>
        <w:t>, в процентах годовых, с предоставлением Кредитору права в одностороннем порядке увеличивать или уменьшать по своему усмотрению неустойку, путем письменного уведомления, без заключения дополнительного соглашения.</w:t>
      </w:r>
    </w:p>
    <w:p w:rsidR="00591016" w:rsidRPr="005C1DBF" w:rsidRDefault="00591016" w:rsidP="00591016">
      <w:pPr>
        <w:keepLines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jc w:val="both"/>
        <w:rPr>
          <w:spacing w:val="-10"/>
          <w:sz w:val="20"/>
          <w:szCs w:val="20"/>
        </w:rPr>
      </w:pPr>
      <w:r w:rsidRPr="005C1DBF">
        <w:rPr>
          <w:spacing w:val="-10"/>
          <w:sz w:val="20"/>
          <w:szCs w:val="20"/>
        </w:rPr>
        <w:t>Одобрить в последующем порядке право Кредитора на включение в Договор НКЛ ковенантов (под ковенантами понимаются особые обязательства, ограничивающие поведение Заемщика, невыполнение которых приводит к возникновению права Кредитора потребовать досрочного погашения кредита или взимание неустойки, на усмотрение Кредитора):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8817"/>
      </w:tblGrid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8817" w:type="dxa"/>
          </w:tcPr>
          <w:p w:rsidR="00591016" w:rsidRPr="005C1DBF" w:rsidRDefault="00591016" w:rsidP="00591016">
            <w:pPr>
              <w:keepLines/>
              <w:tabs>
                <w:tab w:val="left" w:pos="2041"/>
              </w:tabs>
              <w:spacing w:before="60" w:after="60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Обеспечение поддержания доли голосующих акций в уставном капитале Заемщика или доли в уставном капитале Заемщика — общества с ограниченной ответственностью, принадлежащих компании (-ям) – резиденту (-ам) РФ группы компаний «КАРАТ», указанных (-ой) в Договоре НКЛ, и / или иным компаниям-резидентам РФ, консолидированным в группу компаний «КАРАТ», на уровне не ниже 75% + 1 акция (для акционерных обществ) и на уровне не ниже 100% долей в уставном капитале (для обществ с ограниченной ответственностью). Изменение доли возможно только по письменному согласованию с Кредитором.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8817" w:type="dxa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Согласование изменения состава участников / акционеров, организационно-правовой формы, органов управления, создания дочерних обществ по рыбодобывающим компаниям группы компаний «КАРАТ», указанным в Договоре НКЛ, и иным рыбодобывающим компаниям, консолидируемым в группу компаний «КАРАТ».</w:t>
            </w:r>
          </w:p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Уведомление об изменениях состава участников / акционеров, организационно-правовой формы, органов управления, создания дочерних обществ по прочим, не рыбодобывающим, компаниям группы компаний «КАРАТ», указанным в Договоре НКЛ, и  иным не рыбодобывающим компаниям, консолидируемым в группу компаний «КАРАТ», в течение 10 рабочих дней с даты осуществления соответствующих изменений.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:rsidR="00591016" w:rsidRPr="005C1DBF" w:rsidRDefault="00591016" w:rsidP="00591016">
            <w:pPr>
              <w:keepLines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Ограничение на выплату Заемщиком дивидендов.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8817" w:type="dxa"/>
          </w:tcPr>
          <w:p w:rsidR="00591016" w:rsidRPr="005C1DBF" w:rsidRDefault="00591016" w:rsidP="00591016">
            <w:pPr>
              <w:keepLines/>
              <w:tabs>
                <w:tab w:val="left" w:pos="900"/>
              </w:tabs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Ограничение на объем исков к Заемщику и / или поручителю и / или залогодателю в объеме не более 5% от величины чистых активов соответственно Заемщика и / или поручителя и/или залогодателя.</w:t>
            </w:r>
            <w:r w:rsidRPr="005C1DBF">
              <w:rPr>
                <w:color w:val="000080"/>
                <w:spacing w:val="-10"/>
                <w:sz w:val="20"/>
                <w:szCs w:val="20"/>
              </w:rPr>
              <w:t xml:space="preserve"> </w:t>
            </w:r>
            <w:r w:rsidRPr="005C1DBF">
              <w:rPr>
                <w:spacing w:val="-10"/>
                <w:sz w:val="20"/>
                <w:szCs w:val="20"/>
              </w:rPr>
              <w:t>Стоимость чистых активов определяется в соответствии с Приказом Минфина России № 84н от 28.08.2014 «Об утверждении Порядка определения стоимости чистых активов».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5.</w:t>
            </w:r>
          </w:p>
        </w:tc>
        <w:tc>
          <w:tcPr>
            <w:tcW w:w="8817" w:type="dxa"/>
          </w:tcPr>
          <w:p w:rsidR="00591016" w:rsidRPr="005C1DBF" w:rsidRDefault="00591016" w:rsidP="00591016">
            <w:pPr>
              <w:keepLines/>
              <w:tabs>
                <w:tab w:val="left" w:pos="900"/>
              </w:tabs>
              <w:jc w:val="both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Заемщик обязан до полного исполнения обязательств по Договору НКЛ перед Кредитором без предварительного письменного согласования с Кредитором не осуществлять / обеспечить не осуществление передачи в залог иным, кроме Кредитора, кредиторам акций Заемщика.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>Заемщик обязан в срок до 01.01.2017 г. предоставить корпоративные одобрения общим собранием акционеров ПУБЛИЧНОГО АКЦИОНЕРНОГО ОБЩЕСТВА «МУРМАНСКИЙ ТРАЛОВЫЙ ФЛОТ» крупных сделок по заключению Договора НКЛ и обеспечительных договоров (в т. ч. договоров залога, ипотеки) в соответствии с условиями Договора НКЛ.</w:t>
            </w:r>
          </w:p>
        </w:tc>
      </w:tr>
      <w:tr w:rsidR="00591016" w:rsidRPr="005C1DBF" w:rsidTr="00591016">
        <w:tc>
          <w:tcPr>
            <w:tcW w:w="539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spacing w:val="-10"/>
                <w:sz w:val="20"/>
                <w:szCs w:val="20"/>
              </w:rPr>
            </w:pPr>
            <w:r w:rsidRPr="005C1DBF">
              <w:rPr>
                <w:spacing w:val="-10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:rsidR="00591016" w:rsidRPr="005C1DBF" w:rsidRDefault="00591016" w:rsidP="00591016">
            <w:pPr>
              <w:keepLines/>
              <w:tabs>
                <w:tab w:val="left" w:pos="851"/>
              </w:tabs>
              <w:spacing w:line="240" w:lineRule="atLeast"/>
              <w:jc w:val="both"/>
              <w:rPr>
                <w:iCs/>
                <w:spacing w:val="-10"/>
                <w:sz w:val="20"/>
                <w:szCs w:val="20"/>
              </w:rPr>
            </w:pPr>
            <w:r w:rsidRPr="005C1DBF">
              <w:rPr>
                <w:iCs/>
                <w:spacing w:val="-10"/>
                <w:sz w:val="20"/>
                <w:szCs w:val="20"/>
              </w:rPr>
              <w:t xml:space="preserve">Заемщик обязан по письменному требованию Кредитора 1 раз в год проводить оценку рыночной стоимости оформленного в обеспечение кредита имущества, а именно: 91,50639% акций ПУБЛИЧНОГО АКЦИОНЕРНОГО ОБЩЕСТВА «МУРМАНСКИЙ ТРАЛОВЫЙ ФЛОТ», совокупно принадлежащих </w:t>
            </w:r>
            <w:r w:rsidRPr="005C1DBF">
              <w:rPr>
                <w:bCs/>
                <w:spacing w:val="-10"/>
                <w:sz w:val="20"/>
                <w:szCs w:val="20"/>
              </w:rPr>
              <w:t>ЗАО «Северный Альянс», АО «Рыбпроминвест», Бусыгину И. К.</w:t>
            </w:r>
            <w:r w:rsidRPr="005C1DBF">
              <w:rPr>
                <w:iCs/>
                <w:spacing w:val="-10"/>
                <w:sz w:val="20"/>
                <w:szCs w:val="20"/>
              </w:rPr>
              <w:t>, — в удовлетворяющей требованиям Кредитора независимой оценочной компанией с подписанием задания на оценку и не позднее 75 календарных дней с даты получения указанного требования Кредитора предоставить Кредитору отчет о проведенной оценке рыночной стоимости имущества, составленный в письменной форме.</w:t>
            </w:r>
          </w:p>
        </w:tc>
      </w:tr>
    </w:tbl>
    <w:p w:rsidR="00591016" w:rsidRPr="005C1DBF" w:rsidRDefault="00591016" w:rsidP="00591016">
      <w:pPr>
        <w:keepLines/>
        <w:tabs>
          <w:tab w:val="left" w:pos="0"/>
          <w:tab w:val="left" w:pos="851"/>
        </w:tabs>
        <w:spacing w:line="240" w:lineRule="atLeast"/>
        <w:jc w:val="both"/>
        <w:rPr>
          <w:spacing w:val="-10"/>
          <w:sz w:val="20"/>
          <w:szCs w:val="20"/>
        </w:rPr>
      </w:pPr>
      <w:r w:rsidRPr="005C1DBF">
        <w:rPr>
          <w:spacing w:val="-10"/>
          <w:sz w:val="20"/>
          <w:szCs w:val="20"/>
        </w:rPr>
        <w:tab/>
        <w:t>и любых иных ковенантов на усмотрение Кредитора.</w:t>
      </w:r>
    </w:p>
    <w:p w:rsidR="00591016" w:rsidRPr="005C1DBF" w:rsidRDefault="00591016" w:rsidP="00591016">
      <w:pPr>
        <w:keepLines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jc w:val="both"/>
        <w:rPr>
          <w:spacing w:val="-10"/>
          <w:sz w:val="20"/>
          <w:szCs w:val="20"/>
        </w:rPr>
      </w:pPr>
      <w:r w:rsidRPr="005C1DBF">
        <w:rPr>
          <w:spacing w:val="-10"/>
          <w:sz w:val="20"/>
          <w:szCs w:val="20"/>
        </w:rPr>
        <w:t>В соответствие с пунктом 12.7.1 Устава ПУБЛИЧНОГО АКЦИОНЕРНОГО ОБЩЕСТВА «МУРМАНСКИЙ ТРАЛОВЫЙ ФЛОТ» (ГРН 2145190201803 от «30» декабря 2014 г.) сделка по заключению Договора  № 8627-2-202216 об открытии невозобновляемой кредитной линии от «30» июня 2016 года между ПУБЛИЧНЫМ АКЦИОНЕРНЫМ ОБЩЕСТВОМ «МУРМАНСКИЙ ТРАЛОВЫЙ ФЛОТ» и Публичным акционерным обществом «Сбербанк России» была предварительно одобрена Советом директоров ПУБЛИЧНОГО АКЦИОНЕРНОГО ОБЩЕСТВА «МУРМАНСКИЙ ТРАЛОВЫЙ ФЛОТ» «29» июня 2016 года, что подтверждает Протокол № 1 от «29» июня 2016 года заседания Совета директоров ПУБЛИЧНОГО АКЦИОНЕРНОГО ОБЩЕСТВА «МУРМАНСКИЙ ТРАЛОВЫЙ ФЛОТ».</w:t>
      </w:r>
    </w:p>
    <w:p w:rsidR="00591016" w:rsidRPr="00591016" w:rsidRDefault="00591016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5C1DBF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C1DBF">
        <w:rPr>
          <w:sz w:val="20"/>
          <w:szCs w:val="20"/>
        </w:rPr>
        <w:t>2.</w:t>
      </w:r>
      <w:r w:rsidRPr="005C1DBF">
        <w:rPr>
          <w:sz w:val="20"/>
          <w:szCs w:val="20"/>
        </w:rPr>
        <w:tab/>
        <w:t>О выплате вознаграждения Председателю Совета директоров ПАО «МТФ».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2 443 303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(91,7695%)</w:t>
            </w:r>
          </w:p>
        </w:tc>
      </w:tr>
    </w:tbl>
    <w:p w:rsidR="004977A9" w:rsidRDefault="004977A9" w:rsidP="00C80358">
      <w:pPr>
        <w:spacing w:after="60"/>
        <w:rPr>
          <w:sz w:val="20"/>
          <w:szCs w:val="20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Недейств.</w:t>
            </w:r>
            <w:r w:rsidR="004977A9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2 443 303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2 442 050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741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99,9487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0,0303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0,0190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0,0020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93B98" w:rsidRDefault="004977A9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1C5455">
        <w:rPr>
          <w:b/>
          <w:bCs/>
          <w:sz w:val="20"/>
          <w:szCs w:val="20"/>
        </w:rPr>
        <w:t xml:space="preserve">Формулировка решения, </w:t>
      </w:r>
      <w:r>
        <w:rPr>
          <w:b/>
          <w:bCs/>
          <w:sz w:val="20"/>
          <w:szCs w:val="20"/>
        </w:rPr>
        <w:t>принятого по вопросу повестки дня</w:t>
      </w:r>
      <w:r w:rsidRPr="001C5455">
        <w:rPr>
          <w:b/>
          <w:bCs/>
          <w:sz w:val="20"/>
          <w:szCs w:val="20"/>
        </w:rPr>
        <w:t>:</w:t>
      </w:r>
    </w:p>
    <w:p w:rsidR="004977A9" w:rsidRDefault="004977A9" w:rsidP="004977A9">
      <w:pPr>
        <w:jc w:val="both"/>
        <w:rPr>
          <w:sz w:val="20"/>
          <w:szCs w:val="20"/>
        </w:rPr>
      </w:pPr>
    </w:p>
    <w:p w:rsidR="004977A9" w:rsidRPr="00E52EBF" w:rsidRDefault="004977A9" w:rsidP="004977A9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На основании статьи 64 Федерального закона от «26» декабря 1995 года №208 –ФЗ «Об акционерных обществах» одобрить выплату Председателю Совета директоров ПАО «МТФ»   вознаграждения в размере 5 396 111,00 (Пять миллионов триста девяносто шесть тысяч сто одиннадцать) рублей по итогам работы в 2015 году.</w:t>
      </w:r>
    </w:p>
    <w:p w:rsidR="004977A9" w:rsidRPr="004977A9" w:rsidRDefault="004977A9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2E0C15" w:rsidRPr="00A70493" w:rsidRDefault="004977A9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55397E">
        <w:rPr>
          <w:b/>
          <w:sz w:val="20"/>
          <w:szCs w:val="20"/>
        </w:rPr>
        <w:t>Председатель общего собрания:</w:t>
      </w:r>
      <w:r w:rsidR="002E0C15" w:rsidRPr="005C1DBF">
        <w:rPr>
          <w:b/>
          <w:bCs/>
          <w:sz w:val="20"/>
          <w:szCs w:val="20"/>
        </w:rPr>
        <w:tab/>
      </w:r>
      <w:r w:rsidR="002E0C15" w:rsidRPr="00A70493">
        <w:rPr>
          <w:b/>
          <w:bCs/>
          <w:sz w:val="20"/>
          <w:szCs w:val="20"/>
        </w:rPr>
        <w:t>____________________________</w:t>
      </w:r>
      <w:r w:rsidR="002E0C15" w:rsidRPr="00A70493">
        <w:rPr>
          <w:b/>
          <w:bCs/>
          <w:sz w:val="20"/>
          <w:szCs w:val="20"/>
        </w:rPr>
        <w:tab/>
      </w:r>
      <w:r w:rsidR="00477D1B" w:rsidRPr="00A70493">
        <w:rPr>
          <w:b/>
          <w:bCs/>
          <w:sz w:val="20"/>
          <w:szCs w:val="20"/>
        </w:rPr>
        <w:t>/</w:t>
      </w:r>
      <w:r w:rsidR="00A70493" w:rsidRPr="00A70493">
        <w:rPr>
          <w:b/>
          <w:bCs/>
          <w:sz w:val="20"/>
          <w:szCs w:val="20"/>
        </w:rPr>
        <w:t>Старков Д.А./</w:t>
      </w:r>
    </w:p>
    <w:p w:rsidR="004977A9" w:rsidRDefault="004977A9" w:rsidP="004977A9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A70493">
        <w:rPr>
          <w:b/>
          <w:sz w:val="20"/>
          <w:szCs w:val="20"/>
        </w:rPr>
        <w:t>Секретарь общего собрания:</w:t>
      </w:r>
      <w:r w:rsidRPr="00A70493">
        <w:rPr>
          <w:b/>
          <w:bCs/>
          <w:sz w:val="20"/>
          <w:szCs w:val="20"/>
        </w:rPr>
        <w:tab/>
        <w:t>____________________________</w:t>
      </w:r>
      <w:r w:rsidRPr="00A70493">
        <w:rPr>
          <w:b/>
          <w:bCs/>
          <w:sz w:val="20"/>
          <w:szCs w:val="20"/>
        </w:rPr>
        <w:tab/>
        <w:t>/</w:t>
      </w:r>
      <w:r w:rsidR="00A70493" w:rsidRPr="00A70493">
        <w:rPr>
          <w:b/>
          <w:bCs/>
          <w:sz w:val="20"/>
          <w:szCs w:val="20"/>
        </w:rPr>
        <w:t>Шестакова О.В.</w:t>
      </w:r>
      <w:r w:rsidRPr="00A70493">
        <w:rPr>
          <w:b/>
          <w:bCs/>
          <w:sz w:val="20"/>
          <w:szCs w:val="20"/>
        </w:rPr>
        <w:t>/</w:t>
      </w:r>
    </w:p>
    <w:p w:rsidR="004977A9" w:rsidRPr="005C1DBF" w:rsidRDefault="004977A9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9678F3" w:rsidRPr="005C1DBF" w:rsidRDefault="009678F3" w:rsidP="009678F3">
      <w:pPr>
        <w:rPr>
          <w:bCs/>
          <w:sz w:val="16"/>
          <w:szCs w:val="16"/>
        </w:rPr>
      </w:pPr>
    </w:p>
    <w:p w:rsidR="00222C77" w:rsidRPr="005C1DBF" w:rsidRDefault="00222C77" w:rsidP="00EA4861">
      <w:pPr>
        <w:rPr>
          <w:sz w:val="16"/>
          <w:szCs w:val="16"/>
        </w:rPr>
      </w:pPr>
    </w:p>
    <w:sectPr w:rsidR="00222C77" w:rsidRPr="005C1DBF" w:rsidSect="00651E7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16" w:rsidRDefault="00591016">
      <w:r>
        <w:separator/>
      </w:r>
    </w:p>
  </w:endnote>
  <w:endnote w:type="continuationSeparator" w:id="0">
    <w:p w:rsidR="00591016" w:rsidRDefault="005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16" w:rsidRDefault="00AB3CA0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0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016" w:rsidRDefault="00591016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16" w:rsidRDefault="00AB3CA0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0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052">
      <w:rPr>
        <w:rStyle w:val="a6"/>
        <w:noProof/>
      </w:rPr>
      <w:t>2</w:t>
    </w:r>
    <w:r>
      <w:rPr>
        <w:rStyle w:val="a6"/>
      </w:rPr>
      <w:fldChar w:fldCharType="end"/>
    </w:r>
  </w:p>
  <w:p w:rsidR="00591016" w:rsidRDefault="00591016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16" w:rsidRDefault="00591016">
      <w:r>
        <w:separator/>
      </w:r>
    </w:p>
  </w:footnote>
  <w:footnote w:type="continuationSeparator" w:id="0">
    <w:p w:rsidR="00591016" w:rsidRDefault="005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174"/>
    <w:multiLevelType w:val="hybridMultilevel"/>
    <w:tmpl w:val="D5DE23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F84F98"/>
    <w:multiLevelType w:val="hybridMultilevel"/>
    <w:tmpl w:val="6FF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8B676E"/>
    <w:multiLevelType w:val="hybridMultilevel"/>
    <w:tmpl w:val="51D0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102592"/>
    <w:rsid w:val="0010651F"/>
    <w:rsid w:val="00174C21"/>
    <w:rsid w:val="001A037B"/>
    <w:rsid w:val="00201533"/>
    <w:rsid w:val="00222C77"/>
    <w:rsid w:val="0023590B"/>
    <w:rsid w:val="00241A66"/>
    <w:rsid w:val="0025604D"/>
    <w:rsid w:val="002B461C"/>
    <w:rsid w:val="002E0C15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94991"/>
    <w:rsid w:val="003A075C"/>
    <w:rsid w:val="003A6136"/>
    <w:rsid w:val="003E1908"/>
    <w:rsid w:val="0041406A"/>
    <w:rsid w:val="004232A3"/>
    <w:rsid w:val="00434146"/>
    <w:rsid w:val="00434A7A"/>
    <w:rsid w:val="00437ED7"/>
    <w:rsid w:val="00465052"/>
    <w:rsid w:val="004674AA"/>
    <w:rsid w:val="00477D1B"/>
    <w:rsid w:val="004977A9"/>
    <w:rsid w:val="004D0D84"/>
    <w:rsid w:val="004E103A"/>
    <w:rsid w:val="004E6882"/>
    <w:rsid w:val="004F611E"/>
    <w:rsid w:val="005004E8"/>
    <w:rsid w:val="00515F71"/>
    <w:rsid w:val="00532071"/>
    <w:rsid w:val="00537FE6"/>
    <w:rsid w:val="00567765"/>
    <w:rsid w:val="0057593E"/>
    <w:rsid w:val="00591016"/>
    <w:rsid w:val="005A138C"/>
    <w:rsid w:val="005C0052"/>
    <w:rsid w:val="005C1DBF"/>
    <w:rsid w:val="005E61AD"/>
    <w:rsid w:val="005E6C11"/>
    <w:rsid w:val="005F023D"/>
    <w:rsid w:val="00621EBE"/>
    <w:rsid w:val="006425E0"/>
    <w:rsid w:val="006437FF"/>
    <w:rsid w:val="00650A60"/>
    <w:rsid w:val="00651E76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862A6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4713"/>
    <w:rsid w:val="00A70493"/>
    <w:rsid w:val="00AB3CA0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657EC"/>
    <w:rsid w:val="00B74093"/>
    <w:rsid w:val="00B911EB"/>
    <w:rsid w:val="00B93B98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F36057"/>
    <w:rsid w:val="00F77B0A"/>
    <w:rsid w:val="00F823DD"/>
    <w:rsid w:val="00F82726"/>
    <w:rsid w:val="00F849CB"/>
    <w:rsid w:val="00F905C0"/>
    <w:rsid w:val="00FB092B"/>
    <w:rsid w:val="00FC4F23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3C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1">
    <w:name w:val="Абзац списка1"/>
    <w:basedOn w:val="a"/>
    <w:rsid w:val="005C1D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 интервалом Знак"/>
    <w:link w:val="a8"/>
    <w:locked/>
    <w:rsid w:val="005C1DBF"/>
    <w:rPr>
      <w:rFonts w:ascii="Arial" w:hAnsi="Arial"/>
      <w:sz w:val="24"/>
    </w:rPr>
  </w:style>
  <w:style w:type="paragraph" w:customStyle="1" w:styleId="a8">
    <w:name w:val="Абзац с интервалом"/>
    <w:basedOn w:val="a"/>
    <w:link w:val="a7"/>
    <w:rsid w:val="005C1DBF"/>
    <w:pPr>
      <w:spacing w:before="120" w:after="120"/>
      <w:jc w:val="both"/>
    </w:pPr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3C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1">
    <w:name w:val="Абзац списка1"/>
    <w:basedOn w:val="a"/>
    <w:rsid w:val="005C1D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 интервалом Знак"/>
    <w:link w:val="a8"/>
    <w:locked/>
    <w:rsid w:val="005C1DBF"/>
    <w:rPr>
      <w:rFonts w:ascii="Arial" w:hAnsi="Arial"/>
      <w:sz w:val="24"/>
    </w:rPr>
  </w:style>
  <w:style w:type="paragraph" w:customStyle="1" w:styleId="a8">
    <w:name w:val="Абзац с интервалом"/>
    <w:basedOn w:val="a"/>
    <w:link w:val="a7"/>
    <w:rsid w:val="005C1DBF"/>
    <w:pPr>
      <w:spacing w:before="120" w:after="120"/>
      <w:jc w:val="both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Shestakova </cp:lastModifiedBy>
  <cp:revision>2</cp:revision>
  <dcterms:created xsi:type="dcterms:W3CDTF">2018-11-23T12:23:00Z</dcterms:created>
  <dcterms:modified xsi:type="dcterms:W3CDTF">2018-11-23T12:23:00Z</dcterms:modified>
</cp:coreProperties>
</file>